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005E2">
      <w:pPr>
        <w:jc w:val="righ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Проект</w:t>
      </w:r>
    </w:p>
    <w:p w14:paraId="486B2916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6320E169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На бланке представительного органа местного самоуправления</w:t>
      </w:r>
    </w:p>
    <w:p w14:paraId="1DD6B13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37F851C4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 внесении изменений в Правила землепользования и застройки муниципального образования сельского поселения «Сосново-Озерское» Еравнинского района Республики Бурятия</w:t>
      </w:r>
    </w:p>
    <w:p w14:paraId="3871546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506856B">
      <w:pPr>
        <w:ind w:left="0" w:leftChars="0" w:firstLine="397" w:firstLineChars="142"/>
        <w:jc w:val="both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В соответствии со статьей 33 Градостроительного кодекса Российской Федерации, Федеральным законом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от 06.10.2003 № 131-ФЗ «Об общих принципах организации местного самоуправления в Российской Федерации», Уставом муниципального образования «Сосново-Озерское», Совет депутатов муниципального образования «Сосново-Озерское» Еравнинского района Республики Бурятия решил:</w:t>
      </w:r>
    </w:p>
    <w:p w14:paraId="3379C186">
      <w:pPr>
        <w:ind w:left="0" w:leftChars="0" w:firstLine="397" w:firstLineChars="142"/>
        <w:jc w:val="both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</w:p>
    <w:p w14:paraId="37B62487">
      <w:pPr>
        <w:numPr>
          <w:ilvl w:val="0"/>
          <w:numId w:val="1"/>
        </w:numPr>
        <w:ind w:left="0" w:leftChars="0" w:firstLine="397" w:firstLineChars="142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Внести в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Правила землепользования и застройки муниципального образования сельского поселения «Сосново-Озерское»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Еравнинского района Республики Бурятия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, утвержденные Решением Совета депутатов муниципального образования «Сосново-Озерское» от 18.12.2012 № </w:t>
      </w:r>
      <w:r>
        <w:rPr>
          <w:rFonts w:hint="default" w:ascii="Times New Roman" w:hAnsi="Times New Roman" w:eastAsia="PT Sans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AFBFC"/>
        </w:rPr>
        <w:t>32/4</w:t>
      </w:r>
      <w:r>
        <w:rPr>
          <w:rFonts w:hint="default" w:ascii="Times New Roman" w:hAnsi="Times New Roman" w:eastAsia="PT Sans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AFBFC"/>
          <w:lang w:val="ru-RU"/>
        </w:rPr>
        <w:t xml:space="preserve"> (в редакции Решения Совета депутатов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муниципального образования «Сосново-Озерское» от 22.01.2024 № 5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/>
        </w:rPr>
        <w:t>/4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, от 27.06.2024 №10-2 следующие изменения:</w:t>
      </w:r>
    </w:p>
    <w:p w14:paraId="0709E98A">
      <w:pPr>
        <w:numPr>
          <w:ilvl w:val="1"/>
          <w:numId w:val="1"/>
        </w:numPr>
        <w:ind w:left="0" w:leftChars="0" w:firstLine="397" w:firstLineChars="142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В графической части:</w:t>
      </w:r>
    </w:p>
    <w:p w14:paraId="658B4A69">
      <w:pPr>
        <w:numPr>
          <w:ilvl w:val="0"/>
          <w:numId w:val="0"/>
        </w:numPr>
        <w:ind w:left="4" w:leftChars="0" w:firstLine="394" w:firstLineChars="141"/>
        <w:jc w:val="both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- изменить границы </w:t>
      </w: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территориальной зоны - зоны застройки индивидуальными </w:t>
      </w: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highlight w:val="none"/>
          <w:lang w:val="ru-RU"/>
        </w:rPr>
        <w:t xml:space="preserve">и малоэтажными </w:t>
      </w: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  <w:t>жилыми домами (зона ЖУ) путем включения территории из территориальной зоны - зоны сельскохозяйственного использования (зона СХ), расположенной в границах кадастрового квартала 03:05:040101 в соответствии со схемой, прилагаемой к настоящему Решению Приложение №1);</w:t>
      </w:r>
    </w:p>
    <w:p w14:paraId="38386926">
      <w:pPr>
        <w:numPr>
          <w:ilvl w:val="0"/>
          <w:numId w:val="0"/>
        </w:numPr>
        <w:ind w:left="4" w:leftChars="0" w:firstLine="394" w:firstLineChars="141"/>
        <w:jc w:val="both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изменить границы </w:t>
      </w: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  <w:t>территориальной зоны - зоны рекреационного назначения (зона Р) путем включения территории из территориальной зоны - территории общего пользования (зона ТОП), расположенной в границах кадастровых кварталов 03:05:100136 и 03:05:100135: земельные участки 03:05:100136:194 и 03:05:100136:195.</w:t>
      </w:r>
    </w:p>
    <w:p w14:paraId="7939BB2D">
      <w:pPr>
        <w:numPr>
          <w:ilvl w:val="1"/>
          <w:numId w:val="1"/>
        </w:numPr>
        <w:ind w:left="0" w:leftChars="0" w:firstLine="397" w:firstLineChars="142"/>
        <w:jc w:val="both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Пункт 26 </w:t>
      </w:r>
      <w:r>
        <w:rPr>
          <w:rFonts w:hint="default" w:ascii="Times New Roman" w:hAnsi="Times New Roman" w:eastAsia="Calibri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Градостроительный регламент зоны застройки индивидуальными и малоэтажными жилыми домами (зона ЖУ)</w:t>
      </w: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изложить в новой редакции согласно Приложению №2 к настоящему Решению.</w:t>
      </w:r>
    </w:p>
    <w:p w14:paraId="07E6AF56">
      <w:pPr>
        <w:numPr>
          <w:ilvl w:val="1"/>
          <w:numId w:val="1"/>
        </w:numPr>
        <w:shd w:val="clear"/>
        <w:ind w:left="0" w:leftChars="0" w:firstLine="397" w:firstLineChars="142"/>
        <w:jc w:val="both"/>
        <w:rPr>
          <w:rFonts w:hint="default" w:ascii="Times New Roman" w:hAnsi="Times New Roman"/>
          <w:b w:val="0"/>
          <w:bCs w:val="0"/>
          <w:color w:val="auto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highlight w:val="none"/>
          <w:shd w:val="clear"/>
          <w:lang w:val="ru-RU"/>
        </w:rPr>
        <w:t xml:space="preserve">Пункт 36 </w:t>
      </w:r>
      <w:r>
        <w:rPr>
          <w:rFonts w:hint="default" w:ascii="Times New Roman" w:hAnsi="Times New Roman" w:eastAsia="Calibri"/>
          <w:i w:val="0"/>
          <w:iCs w:val="0"/>
          <w:caps w:val="0"/>
          <w:color w:val="auto"/>
          <w:spacing w:val="0"/>
          <w:sz w:val="28"/>
          <w:szCs w:val="28"/>
          <w:highlight w:val="none"/>
          <w:u w:val="none"/>
          <w:shd w:val="clear"/>
          <w:lang w:val="ru-RU"/>
        </w:rPr>
        <w:t xml:space="preserve">Градостроительный регламент зоны рекреационного </w:t>
      </w:r>
      <w:r>
        <w:rPr>
          <w:rFonts w:hint="default" w:ascii="Times New Roman" w:hAnsi="Times New Roman" w:eastAsia="Calibri"/>
          <w:i w:val="0"/>
          <w:iCs w:val="0"/>
          <w:caps w:val="0"/>
          <w:color w:val="auto"/>
          <w:spacing w:val="0"/>
          <w:sz w:val="28"/>
          <w:szCs w:val="28"/>
          <w:highlight w:val="none"/>
          <w:u w:val="none"/>
          <w:shd w:val="clear" w:fill="F8F9FA"/>
          <w:lang w:val="ru-RU"/>
        </w:rPr>
        <w:t xml:space="preserve">назначения (зона Р) </w:t>
      </w: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highlight w:val="none"/>
          <w:lang w:val="ru-RU"/>
        </w:rPr>
        <w:t>изложить в новой редакции согласно Приложению №3 к настоящему Решению.</w:t>
      </w:r>
    </w:p>
    <w:p w14:paraId="02C11385">
      <w:pPr>
        <w:numPr>
          <w:ilvl w:val="0"/>
          <w:numId w:val="1"/>
        </w:numPr>
        <w:ind w:left="0" w:leftChars="0" w:firstLine="397" w:firstLineChars="142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Настоящее Решение вступает в силу с __.______ 2024 г.</w:t>
      </w:r>
    </w:p>
    <w:p w14:paraId="29D1CF84">
      <w:pPr>
        <w:numPr>
          <w:ilvl w:val="0"/>
          <w:numId w:val="0"/>
        </w:numPr>
        <w:jc w:val="both"/>
        <w:rPr>
          <w:rFonts w:hint="default" w:ascii="Times New Roman" w:hAnsi="Times New Roman" w:eastAsia="Calibri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</w:pPr>
    </w:p>
    <w:p w14:paraId="326F1243">
      <w:pPr>
        <w:numPr>
          <w:ilvl w:val="0"/>
          <w:numId w:val="0"/>
        </w:numPr>
        <w:jc w:val="both"/>
        <w:rPr>
          <w:rFonts w:hint="default" w:ascii="Times New Roman" w:hAnsi="Times New Roman" w:eastAsia="Calibri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</w:pPr>
    </w:p>
    <w:p w14:paraId="34B59E9E">
      <w:pPr>
        <w:numPr>
          <w:ilvl w:val="0"/>
          <w:numId w:val="0"/>
        </w:numPr>
        <w:jc w:val="both"/>
        <w:rPr>
          <w:rFonts w:hint="default" w:ascii="Times New Roman" w:hAnsi="Times New Roman" w:eastAsia="Calibri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________________            ___________________    _________________</w:t>
      </w:r>
    </w:p>
    <w:p w14:paraId="046690A3">
      <w:pPr>
        <w:ind w:left="0" w:leftChars="0" w:firstLine="284" w:firstLineChars="142"/>
        <w:jc w:val="both"/>
        <w:rPr>
          <w:rFonts w:hint="default" w:ascii="Times New Roman" w:hAnsi="Times New Roman" w:cs="Times New Roman"/>
          <w:b w:val="0"/>
          <w:bCs w:val="0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ru-RU"/>
        </w:rPr>
        <w:t>Должность                                 подпись                              Ф.И.О.</w:t>
      </w:r>
    </w:p>
    <w:p w14:paraId="7D999612">
      <w:pPr>
        <w:wordWrap w:val="0"/>
        <w:ind w:left="0" w:leftChars="0" w:firstLine="340" w:firstLineChars="142"/>
        <w:jc w:val="right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Приложение №1</w:t>
      </w:r>
    </w:p>
    <w:p w14:paraId="69A65010">
      <w:pPr>
        <w:wordWrap w:val="0"/>
        <w:ind w:left="0" w:leftChars="0" w:firstLine="340" w:firstLineChars="142"/>
        <w:jc w:val="right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к Решению 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Совета депутатов</w:t>
      </w:r>
    </w:p>
    <w:p w14:paraId="478FCB59">
      <w:pPr>
        <w:wordWrap w:val="0"/>
        <w:ind w:left="0" w:leftChars="0" w:firstLine="340" w:firstLineChars="142"/>
        <w:jc w:val="right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МО «Сосново-Озерское»</w:t>
      </w:r>
    </w:p>
    <w:p w14:paraId="30151978">
      <w:pPr>
        <w:wordWrap w:val="0"/>
        <w:ind w:left="0" w:leftChars="0" w:firstLine="340" w:firstLineChars="142"/>
        <w:jc w:val="right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от_______2024 № ________</w:t>
      </w:r>
    </w:p>
    <w:p w14:paraId="6ABFE007">
      <w:pPr>
        <w:wordWrap/>
        <w:ind w:left="0" w:leftChars="0" w:firstLine="284" w:firstLineChars="142"/>
        <w:jc w:val="right"/>
        <w:rPr>
          <w:rFonts w:hint="default" w:ascii="Times New Roman" w:hAnsi="Times New Roman"/>
          <w:b w:val="0"/>
          <w:bCs w:val="0"/>
          <w:sz w:val="20"/>
          <w:szCs w:val="20"/>
          <w:lang w:val="ru-RU"/>
        </w:rPr>
      </w:pPr>
    </w:p>
    <w:p w14:paraId="12E4CCFA">
      <w:pPr>
        <w:wordWrap/>
        <w:ind w:left="0" w:leftChars="0" w:firstLine="284" w:firstLineChars="142"/>
        <w:jc w:val="center"/>
        <w:rPr>
          <w:rFonts w:hint="default" w:ascii="Times New Roman" w:hAnsi="Times New Roman"/>
          <w:b w:val="0"/>
          <w:bCs w:val="0"/>
          <w:sz w:val="20"/>
          <w:szCs w:val="20"/>
          <w:lang w:val="ru-RU"/>
        </w:rPr>
      </w:pPr>
    </w:p>
    <w:p w14:paraId="22ABBBDB">
      <w:pPr>
        <w:wordWrap/>
        <w:ind w:left="0" w:leftChars="0" w:firstLine="397" w:firstLineChars="142"/>
        <w:jc w:val="center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Схема изменения границы территориальной зоны - зоны застройки индивидуальными и малоэтажными жилыми домами (зона ЖУ) путем включения территории из территориальной зоны - зоны сельскохозяйственного использования (зона СХ), расположенной в границах кадастрового квартала 03:05:040101</w:t>
      </w:r>
    </w:p>
    <w:p w14:paraId="5F2E0C03">
      <w:pPr>
        <w:wordWrap/>
        <w:ind w:left="0" w:leftChars="0" w:firstLine="284" w:firstLineChars="142"/>
        <w:jc w:val="center"/>
        <w:rPr>
          <w:rFonts w:hint="default" w:ascii="Times New Roman" w:hAnsi="Times New Roman"/>
          <w:b w:val="0"/>
          <w:bCs w:val="0"/>
          <w:sz w:val="20"/>
          <w:szCs w:val="20"/>
          <w:lang w:val="ru-RU"/>
        </w:rPr>
      </w:pPr>
    </w:p>
    <w:p w14:paraId="5D190440">
      <w:pPr>
        <w:wordWrap/>
        <w:ind w:left="0" w:leftChars="0" w:firstLine="284" w:firstLineChars="142"/>
        <w:jc w:val="center"/>
        <w:rPr>
          <w:rFonts w:hint="default" w:ascii="Times New Roman" w:hAnsi="Times New Roman"/>
          <w:b w:val="0"/>
          <w:bCs w:val="0"/>
          <w:sz w:val="20"/>
          <w:szCs w:val="20"/>
          <w:lang w:val="ru-RU"/>
        </w:rPr>
      </w:pPr>
    </w:p>
    <w:p w14:paraId="537CE880">
      <w:pPr>
        <w:wordWrap/>
        <w:ind w:left="0" w:leftChars="0" w:firstLine="284" w:firstLineChars="142"/>
        <w:jc w:val="center"/>
        <w:rPr>
          <w:rFonts w:hint="default" w:ascii="Times New Roman" w:hAnsi="Times New Roman"/>
          <w:b w:val="0"/>
          <w:bCs w:val="0"/>
          <w:sz w:val="20"/>
          <w:szCs w:val="20"/>
          <w:lang w:val="ru-RU"/>
        </w:rPr>
      </w:pPr>
    </w:p>
    <w:p w14:paraId="389100F6">
      <w:pPr>
        <w:wordWrap/>
        <w:ind w:left="0" w:leftChars="0" w:firstLine="284" w:firstLineChars="142"/>
        <w:jc w:val="right"/>
        <w:rPr>
          <w:rFonts w:hint="default" w:ascii="Times New Roman" w:hAnsi="Times New Roman" w:cs="Times New Roman"/>
          <w:b w:val="0"/>
          <w:bCs w:val="0"/>
          <w:sz w:val="20"/>
          <w:szCs w:val="20"/>
          <w:lang w:val="ru-RU"/>
        </w:rPr>
      </w:pPr>
    </w:p>
    <w:p w14:paraId="749167C0">
      <w:pPr>
        <w:jc w:val="center"/>
      </w:pPr>
      <w:r>
        <w:drawing>
          <wp:inline distT="0" distB="0" distL="114300" distR="114300">
            <wp:extent cx="6117590" cy="4085590"/>
            <wp:effectExtent l="0" t="0" r="8890" b="1397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40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7C928">
      <w:pPr>
        <w:jc w:val="center"/>
      </w:pPr>
    </w:p>
    <w:p w14:paraId="29247D62">
      <w:pPr>
        <w:jc w:val="center"/>
      </w:pPr>
    </w:p>
    <w:p w14:paraId="607FEE3A">
      <w:pPr>
        <w:jc w:val="center"/>
      </w:pPr>
    </w:p>
    <w:p w14:paraId="5111D12A">
      <w:pPr>
        <w:jc w:val="center"/>
      </w:pPr>
    </w:p>
    <w:p w14:paraId="2D7E629C">
      <w:pPr>
        <w:jc w:val="center"/>
      </w:pPr>
    </w:p>
    <w:p w14:paraId="3BCA0BEC">
      <w:pPr>
        <w:jc w:val="center"/>
      </w:pPr>
    </w:p>
    <w:p w14:paraId="5D312B44">
      <w:pPr>
        <w:jc w:val="center"/>
      </w:pPr>
    </w:p>
    <w:p w14:paraId="1D635464">
      <w:pPr>
        <w:jc w:val="center"/>
      </w:pPr>
    </w:p>
    <w:p w14:paraId="5A583C96">
      <w:pPr>
        <w:jc w:val="center"/>
      </w:pPr>
    </w:p>
    <w:p w14:paraId="4E439927">
      <w:pPr>
        <w:jc w:val="center"/>
      </w:pPr>
    </w:p>
    <w:p w14:paraId="698A7F96">
      <w:pPr>
        <w:jc w:val="center"/>
      </w:pPr>
    </w:p>
    <w:p w14:paraId="4E3A0312">
      <w:pPr>
        <w:jc w:val="center"/>
      </w:pPr>
    </w:p>
    <w:p w14:paraId="66792C72">
      <w:pPr>
        <w:jc w:val="center"/>
      </w:pPr>
    </w:p>
    <w:p w14:paraId="62A8168C">
      <w:pPr>
        <w:jc w:val="center"/>
      </w:pPr>
    </w:p>
    <w:p w14:paraId="5ABB3FD9">
      <w:pPr>
        <w:jc w:val="center"/>
      </w:pPr>
    </w:p>
    <w:p w14:paraId="4F77092A">
      <w:pPr>
        <w:jc w:val="center"/>
      </w:pPr>
    </w:p>
    <w:p w14:paraId="478EAFD9">
      <w:pPr>
        <w:wordWrap w:val="0"/>
        <w:ind w:left="0" w:leftChars="0" w:firstLine="340" w:firstLineChars="142"/>
        <w:jc w:val="right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Приложение №2</w:t>
      </w:r>
    </w:p>
    <w:p w14:paraId="616AE00E">
      <w:pPr>
        <w:wordWrap w:val="0"/>
        <w:ind w:left="0" w:leftChars="0" w:firstLine="340" w:firstLineChars="142"/>
        <w:jc w:val="right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к Решению 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Совета депутатов</w:t>
      </w:r>
    </w:p>
    <w:p w14:paraId="0678347F">
      <w:pPr>
        <w:wordWrap w:val="0"/>
        <w:ind w:left="0" w:leftChars="0" w:firstLine="340" w:firstLineChars="142"/>
        <w:jc w:val="right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МО «Сосново-Озерское»</w:t>
      </w:r>
    </w:p>
    <w:p w14:paraId="26E16274">
      <w:pPr>
        <w:wordWrap w:val="0"/>
        <w:ind w:left="0" w:leftChars="0" w:firstLine="340" w:firstLineChars="142"/>
        <w:jc w:val="right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от_______2024 № ________</w:t>
      </w:r>
    </w:p>
    <w:p w14:paraId="6D49D7A3">
      <w:pPr>
        <w:wordWrap/>
        <w:ind w:left="0" w:leftChars="0" w:firstLine="284" w:firstLineChars="142"/>
        <w:jc w:val="right"/>
        <w:rPr>
          <w:rFonts w:hint="default" w:ascii="Times New Roman" w:hAnsi="Times New Roman"/>
          <w:b w:val="0"/>
          <w:bCs w:val="0"/>
          <w:sz w:val="20"/>
          <w:szCs w:val="20"/>
          <w:lang w:val="ru-RU"/>
        </w:rPr>
      </w:pPr>
    </w:p>
    <w:p w14:paraId="772CFBD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7"/>
        <w:jc w:val="both"/>
        <w:textAlignment w:val="auto"/>
        <w:rPr>
          <w:rFonts w:hint="default" w:ascii="Gotham Pro" w:hAnsi="Gotham Pro" w:cs="Gotham Pro"/>
          <w:b/>
          <w:bCs/>
          <w:sz w:val="22"/>
          <w:szCs w:val="22"/>
        </w:rPr>
      </w:pPr>
    </w:p>
    <w:p w14:paraId="6790256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7"/>
        <w:jc w:val="both"/>
        <w:textAlignment w:val="auto"/>
        <w:rPr>
          <w:rFonts w:hint="default" w:ascii="Gotham Pro" w:hAnsi="Gotham Pro" w:cs="Gotham Pro"/>
          <w:b/>
          <w:bCs/>
          <w:sz w:val="22"/>
          <w:szCs w:val="22"/>
        </w:rPr>
      </w:pPr>
      <w:r>
        <w:rPr>
          <w:rFonts w:hint="default" w:ascii="Gotham Pro" w:hAnsi="Gotham Pro" w:cs="Gotham Pro"/>
          <w:b/>
          <w:bCs/>
          <w:sz w:val="22"/>
          <w:szCs w:val="22"/>
        </w:rPr>
        <w:t>26. Градостроительный регламент зоны застройки индивидуальными и малоэтажными жилыми домами (зона ЖУ)</w:t>
      </w:r>
    </w:p>
    <w:tbl>
      <w:tblPr>
        <w:tblStyle w:val="4"/>
        <w:tblW w:w="97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551"/>
        <w:gridCol w:w="6201"/>
      </w:tblGrid>
      <w:tr w14:paraId="160E1B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988" w:type="dxa"/>
            <w:vAlign w:val="center"/>
          </w:tcPr>
          <w:p w14:paraId="389A58E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2551" w:type="dxa"/>
            <w:vAlign w:val="center"/>
          </w:tcPr>
          <w:p w14:paraId="540DCF9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Вид разрешенного использования земельного участка </w:t>
            </w:r>
          </w:p>
        </w:tc>
        <w:tc>
          <w:tcPr>
            <w:tcW w:w="6201" w:type="dxa"/>
            <w:vAlign w:val="center"/>
          </w:tcPr>
          <w:p w14:paraId="5D3BCA1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14:paraId="3F91E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0" w:type="dxa"/>
            <w:gridSpan w:val="3"/>
          </w:tcPr>
          <w:p w14:paraId="089C228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b/>
                <w:sz w:val="18"/>
                <w:szCs w:val="18"/>
                <w:lang w:eastAsia="ru-RU"/>
              </w:rPr>
              <w:t>Основные виды и параметры разрешенного использования земельных участков и объектов капитального строительства</w:t>
            </w:r>
          </w:p>
        </w:tc>
      </w:tr>
      <w:tr w14:paraId="078F7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01F5100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551" w:type="dxa"/>
          </w:tcPr>
          <w:p w14:paraId="479EC2B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6201" w:type="dxa"/>
            <w:vMerge w:val="restart"/>
            <w:vAlign w:val="center"/>
          </w:tcPr>
          <w:p w14:paraId="14E94EA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Предельная этажность зданий, строений,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этаж - 3.</w:t>
            </w:r>
          </w:p>
          <w:p w14:paraId="550023C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участков, га:</w:t>
            </w:r>
          </w:p>
          <w:p w14:paraId="5A2249E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а) минимальный – 400 кв.м.</w:t>
            </w:r>
          </w:p>
          <w:p w14:paraId="374E515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б) максимальный– 4000 кв.м.</w:t>
            </w:r>
          </w:p>
          <w:p w14:paraId="5E531C6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застройки, % - 50.</w:t>
            </w:r>
          </w:p>
          <w:p w14:paraId="15DC1B9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Минимальные отступы от границ земельных участков, м:</w:t>
            </w:r>
          </w:p>
          <w:p w14:paraId="7A8DF09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а) от жилого здания, строения до границы соседнего участка – 3;</w:t>
            </w:r>
          </w:p>
          <w:p w14:paraId="25A66D4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б) от прочих построек (бань, гаражей и др.) до соседнего участка – 1;</w:t>
            </w:r>
          </w:p>
          <w:p w14:paraId="719840E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в) от окон жилого здания, строения до построек, используемых для содержания домашних животных – не менее 10 м;</w:t>
            </w:r>
          </w:p>
        </w:tc>
      </w:tr>
      <w:tr w14:paraId="730D4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5F0E9B6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2551" w:type="dxa"/>
          </w:tcPr>
          <w:p w14:paraId="0F7A6CE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6201" w:type="dxa"/>
            <w:vMerge w:val="continue"/>
            <w:vAlign w:val="center"/>
          </w:tcPr>
          <w:p w14:paraId="4B4FEF7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787AF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7406189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2551" w:type="dxa"/>
          </w:tcPr>
          <w:p w14:paraId="7FB7BC7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6201" w:type="dxa"/>
            <w:vMerge w:val="continue"/>
            <w:vAlign w:val="center"/>
          </w:tcPr>
          <w:p w14:paraId="3AE4E0F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10B80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shd w:val="clear" w:color="auto" w:fill="auto"/>
            <w:vAlign w:val="top"/>
          </w:tcPr>
          <w:p w14:paraId="3EE18A5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2.3. </w:t>
            </w:r>
          </w:p>
        </w:tc>
        <w:tc>
          <w:tcPr>
            <w:tcW w:w="2551" w:type="dxa"/>
            <w:shd w:val="clear" w:color="auto" w:fill="auto"/>
            <w:vAlign w:val="top"/>
          </w:tcPr>
          <w:p w14:paraId="28B4CA6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Блокированная жилая застройка</w:t>
            </w:r>
          </w:p>
        </w:tc>
        <w:tc>
          <w:tcPr>
            <w:tcW w:w="6201" w:type="dxa"/>
            <w:vMerge w:val="continue"/>
            <w:vAlign w:val="center"/>
          </w:tcPr>
          <w:p w14:paraId="6BFDFCA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4D560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shd w:val="clear" w:color="auto" w:fill="auto"/>
            <w:vAlign w:val="top"/>
          </w:tcPr>
          <w:p w14:paraId="252EE3A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551" w:type="dxa"/>
            <w:shd w:val="clear" w:color="auto" w:fill="auto"/>
            <w:vAlign w:val="top"/>
          </w:tcPr>
          <w:p w14:paraId="2972DFB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Коммунальное обслуживание</w:t>
            </w:r>
          </w:p>
        </w:tc>
        <w:tc>
          <w:tcPr>
            <w:tcW w:w="6201" w:type="dxa"/>
            <w:vMerge w:val="restart"/>
            <w:vAlign w:val="center"/>
          </w:tcPr>
          <w:p w14:paraId="29D44E4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Предельная этажность зданий, строений, этаж- не подлежит установлению.</w:t>
            </w:r>
          </w:p>
          <w:p w14:paraId="71FD3D2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участков, га – не подлежат установлению.</w:t>
            </w:r>
          </w:p>
          <w:p w14:paraId="0F41895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застройки, % - не подлежит установлению.</w:t>
            </w:r>
          </w:p>
          <w:p w14:paraId="625B41F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Минимальный отступ от границ земельного участка в целях определения места допустимого размещения объекта – 3 м.</w:t>
            </w:r>
          </w:p>
        </w:tc>
      </w:tr>
      <w:tr w14:paraId="0590F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shd w:val="clear" w:color="auto" w:fill="auto"/>
            <w:vAlign w:val="top"/>
          </w:tcPr>
          <w:p w14:paraId="148D1D0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6.7.</w:t>
            </w:r>
          </w:p>
        </w:tc>
        <w:tc>
          <w:tcPr>
            <w:tcW w:w="2551" w:type="dxa"/>
            <w:shd w:val="clear" w:color="auto" w:fill="auto"/>
            <w:vAlign w:val="top"/>
          </w:tcPr>
          <w:p w14:paraId="4C40B69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Энергетика</w:t>
            </w:r>
          </w:p>
        </w:tc>
        <w:tc>
          <w:tcPr>
            <w:tcW w:w="6201" w:type="dxa"/>
            <w:vMerge w:val="continue"/>
            <w:vAlign w:val="center"/>
          </w:tcPr>
          <w:p w14:paraId="63A3582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7927DF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4BC39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6.8.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D150C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Связь</w:t>
            </w:r>
          </w:p>
        </w:tc>
        <w:tc>
          <w:tcPr>
            <w:tcW w:w="6201" w:type="dxa"/>
            <w:vMerge w:val="continue"/>
            <w:vAlign w:val="center"/>
          </w:tcPr>
          <w:p w14:paraId="4EB4284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36D9B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060B1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12.0.1.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72CB9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Улично-дорожная сеть</w:t>
            </w:r>
          </w:p>
        </w:tc>
        <w:tc>
          <w:tcPr>
            <w:tcW w:w="6201" w:type="dxa"/>
            <w:vMerge w:val="continue"/>
            <w:vAlign w:val="center"/>
          </w:tcPr>
          <w:p w14:paraId="6AD196F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5DBA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2735D1E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12.0.2.</w:t>
            </w:r>
          </w:p>
        </w:tc>
        <w:tc>
          <w:tcPr>
            <w:tcW w:w="2551" w:type="dxa"/>
          </w:tcPr>
          <w:p w14:paraId="3204BDB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Благоустройство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территории</w:t>
            </w:r>
          </w:p>
        </w:tc>
        <w:tc>
          <w:tcPr>
            <w:tcW w:w="6201" w:type="dxa"/>
            <w:vMerge w:val="continue"/>
            <w:vAlign w:val="center"/>
          </w:tcPr>
          <w:p w14:paraId="01C2181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2050F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shd w:val="clear" w:color="auto" w:fill="auto"/>
            <w:vAlign w:val="top"/>
          </w:tcPr>
          <w:p w14:paraId="4AFBB10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14.0.</w:t>
            </w:r>
          </w:p>
        </w:tc>
        <w:tc>
          <w:tcPr>
            <w:tcW w:w="2551" w:type="dxa"/>
            <w:shd w:val="clear" w:color="auto" w:fill="auto"/>
            <w:vAlign w:val="top"/>
          </w:tcPr>
          <w:p w14:paraId="0BD8AE3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Земельные участки,</w:t>
            </w:r>
          </w:p>
          <w:p w14:paraId="44BA678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6201" w:type="dxa"/>
            <w:vMerge w:val="continue"/>
            <w:vAlign w:val="center"/>
          </w:tcPr>
          <w:p w14:paraId="1E5A2BF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F57D9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4C03DE3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en-US" w:eastAsia="ru-RU" w:bidi="ar-SA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en-US" w:eastAsia="ru-RU" w:bidi="ar-SA"/>
              </w:rPr>
              <w:t>11.3.</w:t>
            </w:r>
          </w:p>
          <w:p w14:paraId="66070F8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</w:tcPr>
          <w:p w14:paraId="61D30DA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en-US" w:eastAsia="ru-RU" w:bidi="ar-SA"/>
              </w:rPr>
              <w:t>Гидротехнические сооружения</w:t>
            </w:r>
          </w:p>
        </w:tc>
        <w:tc>
          <w:tcPr>
            <w:tcW w:w="6201" w:type="dxa"/>
            <w:vMerge w:val="continue"/>
            <w:vAlign w:val="center"/>
          </w:tcPr>
          <w:p w14:paraId="2D2C976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77DF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16673312">
            <w:pPr>
              <w:pStyle w:val="5"/>
              <w:widowControl w:val="0"/>
              <w:bidi w:val="0"/>
              <w:jc w:val="both"/>
              <w:rPr>
                <w:rFonts w:hint="default" w:ascii="Gotham Pro" w:hAnsi="Gotham Pro" w:cs="Gotham Pro"/>
                <w:sz w:val="18"/>
                <w:szCs w:val="18"/>
                <w:lang w:val="ru-RU"/>
              </w:rPr>
            </w:pPr>
            <w:r>
              <w:rPr>
                <w:rFonts w:hint="default" w:ascii="Gotham Pro" w:hAnsi="Gotham Pro" w:cs="Gotham Pro"/>
                <w:sz w:val="18"/>
                <w:szCs w:val="18"/>
                <w:lang w:val="ru-RU"/>
              </w:rPr>
              <w:t>2.7.1.</w:t>
            </w:r>
          </w:p>
          <w:p w14:paraId="3078D2C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</w:tcPr>
          <w:p w14:paraId="568E309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sz w:val="18"/>
                <w:szCs w:val="18"/>
                <w:lang w:eastAsia="ru-RU"/>
              </w:rPr>
              <w:t>Хранение автотранспорта</w:t>
            </w:r>
          </w:p>
        </w:tc>
        <w:tc>
          <w:tcPr>
            <w:tcW w:w="6201" w:type="dxa"/>
            <w:vMerge w:val="restart"/>
            <w:vAlign w:val="center"/>
          </w:tcPr>
          <w:p w14:paraId="5BD4FF9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Предельная этажность зданий, строений, этаж- не подлежит установлению.</w:t>
            </w:r>
          </w:p>
          <w:p w14:paraId="172AC97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участков, га – не подлежат установлению.</w:t>
            </w:r>
          </w:p>
          <w:p w14:paraId="5AFF1B2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застройки, % - не подлежит установлению.</w:t>
            </w:r>
          </w:p>
          <w:p w14:paraId="1B2AFAF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Минимальный отступ от границ земельного участка в целях определения места допустимого размещения объекта – 3 м.</w:t>
            </w:r>
          </w:p>
        </w:tc>
      </w:tr>
      <w:tr w14:paraId="4B9F68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shd w:val="clear" w:color="auto" w:fill="auto"/>
            <w:vAlign w:val="top"/>
          </w:tcPr>
          <w:p w14:paraId="3CADC47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2.7.2.</w:t>
            </w:r>
          </w:p>
        </w:tc>
        <w:tc>
          <w:tcPr>
            <w:tcW w:w="2551" w:type="dxa"/>
            <w:shd w:val="clear" w:color="auto" w:fill="auto"/>
            <w:vAlign w:val="top"/>
          </w:tcPr>
          <w:p w14:paraId="0060230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Размещение гаражей для собственных нужд</w:t>
            </w:r>
          </w:p>
          <w:p w14:paraId="0E2535D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6201" w:type="dxa"/>
            <w:vMerge w:val="continue"/>
            <w:vAlign w:val="center"/>
          </w:tcPr>
          <w:p w14:paraId="0A7BC44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4F65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3DE2951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sz w:val="18"/>
                <w:szCs w:val="18"/>
                <w:lang w:val="ru-RU"/>
              </w:rPr>
              <w:t>5.1.3.</w:t>
            </w:r>
          </w:p>
        </w:tc>
        <w:tc>
          <w:tcPr>
            <w:tcW w:w="2551" w:type="dxa"/>
          </w:tcPr>
          <w:p w14:paraId="0D0B50E5">
            <w:pPr>
              <w:pStyle w:val="5"/>
              <w:widowControl w:val="0"/>
              <w:bidi w:val="0"/>
              <w:jc w:val="both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sz w:val="18"/>
                <w:szCs w:val="18"/>
                <w:lang w:val="ru-RU"/>
              </w:rPr>
              <w:t>Площадки для занятий спортом</w:t>
            </w:r>
          </w:p>
        </w:tc>
        <w:tc>
          <w:tcPr>
            <w:tcW w:w="6201" w:type="dxa"/>
            <w:vAlign w:val="center"/>
          </w:tcPr>
          <w:p w14:paraId="773AFDE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участков:</w:t>
            </w:r>
          </w:p>
          <w:p w14:paraId="218DB82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а) минимальный –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100 кв.м;</w:t>
            </w:r>
          </w:p>
          <w:p w14:paraId="675148B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б) максимальный–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10000 кв.м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highlight w:val="none"/>
                <w:lang w:eastAsia="ru-RU"/>
              </w:rPr>
              <w:t>.</w:t>
            </w:r>
          </w:p>
          <w:p w14:paraId="695457A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 - не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подлежит установлен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highlight w:val="none"/>
                <w:lang w:val="en-US" w:eastAsia="ru-RU"/>
              </w:rPr>
              <w:t>ию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.</w:t>
            </w:r>
          </w:p>
          <w:p w14:paraId="3FE3544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Максимальная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высота зданий - 5 м.</w:t>
            </w:r>
          </w:p>
          <w:p w14:paraId="3C253CA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Минимальные отступы от границ земельных участков:</w:t>
            </w:r>
          </w:p>
          <w:p w14:paraId="623C2F0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а)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до красной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линии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 – 3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м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;</w:t>
            </w:r>
          </w:p>
          <w:p w14:paraId="022ACCE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б) от иных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границ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 – 1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м.</w:t>
            </w:r>
          </w:p>
        </w:tc>
      </w:tr>
      <w:tr w14:paraId="455A3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0" w:type="dxa"/>
            <w:gridSpan w:val="3"/>
          </w:tcPr>
          <w:p w14:paraId="7F89C49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b/>
                <w:sz w:val="18"/>
                <w:szCs w:val="18"/>
                <w:lang w:eastAsia="ru-RU"/>
              </w:rPr>
              <w:t>Условно разрешенные виды и параметры использования земельных участков и объектов капитального строительства</w:t>
            </w:r>
          </w:p>
        </w:tc>
      </w:tr>
      <w:tr w14:paraId="5B386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0F2B7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7FE8E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Социальное обслуживание</w:t>
            </w:r>
          </w:p>
        </w:tc>
        <w:tc>
          <w:tcPr>
            <w:tcW w:w="6201" w:type="dxa"/>
            <w:vMerge w:val="restart"/>
            <w:vAlign w:val="center"/>
          </w:tcPr>
          <w:p w14:paraId="15A0B4C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Предельная этажность зданий, строений, этаж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- не подлежит установлению.</w:t>
            </w:r>
          </w:p>
          <w:p w14:paraId="2B763FF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участков, га – не подлежат установлению.</w:t>
            </w:r>
          </w:p>
          <w:p w14:paraId="1FEA616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застройки, % - не подлежит установлению.</w:t>
            </w:r>
          </w:p>
          <w:p w14:paraId="0A8A2BF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Минимальный отступ от границ земельного участка в целях определения места допустимого размещения объекта – 3 м.</w:t>
            </w:r>
          </w:p>
        </w:tc>
      </w:tr>
      <w:tr w14:paraId="38AF9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40326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AAB9C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Бытовое обслуживание</w:t>
            </w:r>
          </w:p>
        </w:tc>
        <w:tc>
          <w:tcPr>
            <w:tcW w:w="6201" w:type="dxa"/>
            <w:vMerge w:val="continue"/>
            <w:vAlign w:val="center"/>
          </w:tcPr>
          <w:p w14:paraId="4D90D17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0093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AE3AB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3.4.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7A933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6201" w:type="dxa"/>
            <w:vMerge w:val="continue"/>
            <w:vAlign w:val="center"/>
          </w:tcPr>
          <w:p w14:paraId="2C08E42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222F8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7FE45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3.5.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2EF94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Образование и просвещение</w:t>
            </w:r>
          </w:p>
        </w:tc>
        <w:tc>
          <w:tcPr>
            <w:tcW w:w="6201" w:type="dxa"/>
            <w:vMerge w:val="continue"/>
            <w:vAlign w:val="center"/>
          </w:tcPr>
          <w:p w14:paraId="4385860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39702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4E03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3.6.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42092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Культурное развитие</w:t>
            </w:r>
          </w:p>
        </w:tc>
        <w:tc>
          <w:tcPr>
            <w:tcW w:w="6201" w:type="dxa"/>
            <w:vMerge w:val="continue"/>
            <w:vAlign w:val="center"/>
          </w:tcPr>
          <w:p w14:paraId="419AE29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1CD74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A98F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3.7.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C9DF9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Религиозное использование</w:t>
            </w:r>
          </w:p>
        </w:tc>
        <w:tc>
          <w:tcPr>
            <w:tcW w:w="6201" w:type="dxa"/>
            <w:vMerge w:val="continue"/>
            <w:vAlign w:val="center"/>
          </w:tcPr>
          <w:p w14:paraId="0D099B5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E07E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218B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3.8.1.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C8C1C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Государственное управление</w:t>
            </w:r>
          </w:p>
        </w:tc>
        <w:tc>
          <w:tcPr>
            <w:tcW w:w="6201" w:type="dxa"/>
            <w:vMerge w:val="continue"/>
            <w:vAlign w:val="center"/>
          </w:tcPr>
          <w:p w14:paraId="655B352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1C6B3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AE1F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3.10.1.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9D09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Амбулаторное ветеринарное обслуживание</w:t>
            </w:r>
          </w:p>
        </w:tc>
        <w:tc>
          <w:tcPr>
            <w:tcW w:w="6201" w:type="dxa"/>
            <w:vMerge w:val="continue"/>
            <w:vAlign w:val="center"/>
          </w:tcPr>
          <w:p w14:paraId="4136F89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7A63E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0035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ru-RU"/>
              </w:rPr>
            </w:pPr>
            <w:r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ru-RU"/>
              </w:rPr>
              <w:t>4.4.</w:t>
            </w:r>
          </w:p>
          <w:p w14:paraId="3D2A836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302C9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ru-RU"/>
              </w:rPr>
              <w:t>Магазины</w:t>
            </w:r>
          </w:p>
        </w:tc>
        <w:tc>
          <w:tcPr>
            <w:tcW w:w="6201" w:type="dxa"/>
            <w:vMerge w:val="continue"/>
            <w:vAlign w:val="center"/>
          </w:tcPr>
          <w:p w14:paraId="5E964E5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15D0F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48FA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4.9.1.3.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ECA6C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Автомобильные мойки</w:t>
            </w:r>
          </w:p>
        </w:tc>
        <w:tc>
          <w:tcPr>
            <w:tcW w:w="6201" w:type="dxa"/>
            <w:vMerge w:val="continue"/>
            <w:vAlign w:val="center"/>
          </w:tcPr>
          <w:p w14:paraId="4255B94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73F71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833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4.9.1.4.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AFAD7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Ремонт автомобилей</w:t>
            </w:r>
          </w:p>
        </w:tc>
        <w:tc>
          <w:tcPr>
            <w:tcW w:w="6201" w:type="dxa"/>
            <w:vMerge w:val="continue"/>
            <w:vAlign w:val="center"/>
          </w:tcPr>
          <w:p w14:paraId="1F54576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73DA0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FD33F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5.1.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2.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E33A5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Обеспечение занятий спортом в помещениях</w:t>
            </w:r>
          </w:p>
        </w:tc>
        <w:tc>
          <w:tcPr>
            <w:tcW w:w="6201" w:type="dxa"/>
            <w:vMerge w:val="continue"/>
            <w:vAlign w:val="center"/>
          </w:tcPr>
          <w:p w14:paraId="0ACC7AA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22EF2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A456D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6.4.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49662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Пищевая промышленность</w:t>
            </w:r>
          </w:p>
        </w:tc>
        <w:tc>
          <w:tcPr>
            <w:tcW w:w="6201" w:type="dxa"/>
            <w:vMerge w:val="continue"/>
            <w:vAlign w:val="center"/>
          </w:tcPr>
          <w:p w14:paraId="391B51D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4098D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0" w:type="dxa"/>
            <w:gridSpan w:val="3"/>
          </w:tcPr>
          <w:p w14:paraId="7CD35B9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b/>
                <w:sz w:val="18"/>
                <w:szCs w:val="18"/>
                <w:lang w:eastAsia="ru-RU"/>
              </w:rPr>
              <w:t>Вспомогательные виды и параметры использования земельных участков и объектов капитального строительства</w:t>
            </w:r>
          </w:p>
        </w:tc>
      </w:tr>
      <w:tr w14:paraId="2CA31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E02CB2B">
            <w:pPr>
              <w:pStyle w:val="5"/>
              <w:widowControl w:val="0"/>
              <w:jc w:val="both"/>
              <w:rPr>
                <w:rFonts w:hint="default" w:ascii="Gotham Pro" w:hAnsi="Gotham Pro" w:eastAsia="Times New Roman" w:cs="Gotham Pro"/>
                <w:color w:val="aut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color w:val="auto"/>
                <w:sz w:val="18"/>
                <w:szCs w:val="18"/>
                <w:lang w:val="en-US" w:eastAsia="ru-RU"/>
              </w:rPr>
              <w:t xml:space="preserve">13.1. </w:t>
            </w:r>
          </w:p>
          <w:p w14:paraId="3BB65302">
            <w:pPr>
              <w:pStyle w:val="5"/>
              <w:widowControl w:val="0"/>
              <w:jc w:val="both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F4AA85A">
            <w:pPr>
              <w:pStyle w:val="5"/>
              <w:widowControl w:val="0"/>
              <w:jc w:val="both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Ведение огородничества</w:t>
            </w:r>
          </w:p>
        </w:tc>
        <w:tc>
          <w:tcPr>
            <w:tcW w:w="6201" w:type="dxa"/>
            <w:vMerge w:val="restart"/>
            <w:vAlign w:val="center"/>
          </w:tcPr>
          <w:p w14:paraId="2AD1BAA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Предельная этажность зданий, строений, этаж- не подлежит установлению.</w:t>
            </w:r>
          </w:p>
          <w:p w14:paraId="4CC23EB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участков, га – не подлежат установлению.</w:t>
            </w:r>
          </w:p>
          <w:p w14:paraId="39F41D1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застройки, % - не подлежит установлению.</w:t>
            </w:r>
          </w:p>
          <w:p w14:paraId="5BB14EC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Минимальный отступ от границ земельного участка в целях определения места допустимого размещения объекта – 3 м.</w:t>
            </w:r>
          </w:p>
        </w:tc>
      </w:tr>
      <w:tr w14:paraId="1D4FB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 w14:paraId="2F9D13AD">
            <w:pPr>
              <w:pStyle w:val="5"/>
              <w:widowControl w:val="0"/>
              <w:jc w:val="both"/>
              <w:rPr>
                <w:rFonts w:hint="default" w:ascii="Gotham Pro" w:hAnsi="Gotham Pro" w:eastAsia="Times New Roman" w:cs="Gotham Pro"/>
                <w:color w:val="aut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color w:val="auto"/>
                <w:sz w:val="18"/>
                <w:szCs w:val="18"/>
                <w:lang w:val="en-US" w:eastAsia="ru-RU"/>
              </w:rPr>
              <w:t>13.2.</w:t>
            </w:r>
          </w:p>
          <w:p w14:paraId="42246BFE">
            <w:pPr>
              <w:pStyle w:val="5"/>
              <w:widowControl w:val="0"/>
              <w:jc w:val="both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 w14:paraId="5CB4E1E7">
            <w:pPr>
              <w:pStyle w:val="5"/>
              <w:widowControl w:val="0"/>
              <w:jc w:val="both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Ведение садоводства</w:t>
            </w:r>
          </w:p>
        </w:tc>
        <w:tc>
          <w:tcPr>
            <w:tcW w:w="6201" w:type="dxa"/>
            <w:vMerge w:val="continue"/>
            <w:vAlign w:val="center"/>
          </w:tcPr>
          <w:p w14:paraId="7BA4BB6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</w:tbl>
    <w:p w14:paraId="782765C2">
      <w:pPr>
        <w:wordWrap/>
        <w:ind w:left="0" w:leftChars="0" w:firstLine="284" w:firstLineChars="142"/>
        <w:jc w:val="center"/>
        <w:rPr>
          <w:rFonts w:hint="default" w:ascii="Times New Roman" w:hAnsi="Times New Roman"/>
          <w:b w:val="0"/>
          <w:bCs w:val="0"/>
          <w:sz w:val="20"/>
          <w:szCs w:val="20"/>
          <w:lang w:val="ru-RU"/>
        </w:rPr>
      </w:pPr>
    </w:p>
    <w:p w14:paraId="36D0824C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0B2DA07C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6138D019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03343068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69370D7D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08E6C136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645DDF4F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4D6B24B0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46924CA2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0BABF872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0A029014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34232B9B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11030C6F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00C6C20A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3461C52B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6A45E49B">
      <w:pPr>
        <w:wordWrap w:val="0"/>
        <w:ind w:left="0" w:leftChars="0" w:firstLine="340" w:firstLineChars="142"/>
        <w:jc w:val="right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</w:p>
    <w:p w14:paraId="796F4DF0">
      <w:pPr>
        <w:wordWrap w:val="0"/>
        <w:ind w:left="0" w:leftChars="0" w:firstLine="340" w:firstLineChars="142"/>
        <w:jc w:val="right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Приложение №3</w:t>
      </w:r>
    </w:p>
    <w:p w14:paraId="668F224B">
      <w:pPr>
        <w:wordWrap w:val="0"/>
        <w:ind w:left="0" w:leftChars="0" w:firstLine="340" w:firstLineChars="142"/>
        <w:jc w:val="right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к Решению 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Совета депутатов</w:t>
      </w:r>
    </w:p>
    <w:p w14:paraId="55DD075F">
      <w:pPr>
        <w:wordWrap w:val="0"/>
        <w:ind w:left="0" w:leftChars="0" w:firstLine="340" w:firstLineChars="142"/>
        <w:jc w:val="right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МО «Сосново-Озерское»</w:t>
      </w:r>
    </w:p>
    <w:p w14:paraId="566D7DBB">
      <w:pPr>
        <w:jc w:val="right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от_______2024 № ________</w:t>
      </w:r>
    </w:p>
    <w:p w14:paraId="754E257C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51BA98F9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p w14:paraId="4E293116">
      <w:pPr>
        <w:pStyle w:val="5"/>
        <w:numPr>
          <w:ilvl w:val="0"/>
          <w:numId w:val="2"/>
        </w:numPr>
        <w:spacing w:line="276" w:lineRule="auto"/>
        <w:ind w:firstLine="567"/>
        <w:jc w:val="both"/>
        <w:rPr>
          <w:rFonts w:hint="default" w:ascii="Gotham Pro" w:hAnsi="Gotham Pro" w:eastAsia="Times New Roman" w:cs="Gotham Pro"/>
          <w:b/>
          <w:bCs/>
          <w:sz w:val="22"/>
          <w:szCs w:val="22"/>
          <w:lang w:eastAsia="ru-RU"/>
        </w:rPr>
      </w:pPr>
      <w:r>
        <w:rPr>
          <w:rFonts w:hint="default" w:ascii="Gotham Pro" w:hAnsi="Gotham Pro" w:eastAsia="Times New Roman" w:cs="Gotham Pro"/>
          <w:b/>
          <w:bCs/>
          <w:sz w:val="22"/>
          <w:szCs w:val="22"/>
          <w:lang w:eastAsia="ru-RU"/>
        </w:rPr>
        <w:t>Градостроительный регламент зоны рекреационного</w:t>
      </w:r>
      <w:r>
        <w:rPr>
          <w:rFonts w:hint="default" w:ascii="Gotham Pro" w:hAnsi="Gotham Pro" w:eastAsia="Times New Roman" w:cs="Gotham Pro"/>
          <w:b/>
          <w:bCs/>
          <w:sz w:val="22"/>
          <w:szCs w:val="22"/>
          <w:lang w:val="en-US" w:eastAsia="ru-RU"/>
        </w:rPr>
        <w:t xml:space="preserve"> назначения</w:t>
      </w:r>
      <w:r>
        <w:rPr>
          <w:rFonts w:hint="default" w:ascii="Gotham Pro" w:hAnsi="Gotham Pro" w:eastAsia="Times New Roman" w:cs="Gotham Pro"/>
          <w:b/>
          <w:bCs/>
          <w:sz w:val="22"/>
          <w:szCs w:val="22"/>
          <w:lang w:eastAsia="ru-RU"/>
        </w:rPr>
        <w:t xml:space="preserve"> (зона Р)</w:t>
      </w:r>
    </w:p>
    <w:tbl>
      <w:tblPr>
        <w:tblStyle w:val="4"/>
        <w:tblpPr w:leftFromText="180" w:rightFromText="180" w:vertAnchor="text" w:horzAnchor="page" w:tblpX="1681" w:tblpY="309"/>
        <w:tblOverlap w:val="never"/>
        <w:tblW w:w="97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822"/>
        <w:gridCol w:w="6067"/>
      </w:tblGrid>
      <w:tr w14:paraId="55B63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9" w:type="dxa"/>
            <w:vAlign w:val="center"/>
          </w:tcPr>
          <w:p w14:paraId="6D6CF56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bookmarkStart w:id="0" w:name="_GoBack"/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2822" w:type="dxa"/>
            <w:vAlign w:val="center"/>
          </w:tcPr>
          <w:p w14:paraId="63D17B6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Вид разрешенного использования земельного участка</w:t>
            </w:r>
          </w:p>
        </w:tc>
        <w:tc>
          <w:tcPr>
            <w:tcW w:w="6067" w:type="dxa"/>
            <w:vAlign w:val="center"/>
          </w:tcPr>
          <w:p w14:paraId="2A23675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14:paraId="5491C4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8" w:type="dxa"/>
            <w:gridSpan w:val="3"/>
          </w:tcPr>
          <w:p w14:paraId="7FF4ABF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b/>
                <w:sz w:val="18"/>
                <w:szCs w:val="18"/>
                <w:lang w:eastAsia="ru-RU"/>
              </w:rPr>
              <w:t>Основные виды и параметры разрешенного использования земельных участков и объектов капитального строительства</w:t>
            </w:r>
          </w:p>
        </w:tc>
      </w:tr>
      <w:tr w14:paraId="547DB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vAlign w:val="top"/>
          </w:tcPr>
          <w:p w14:paraId="36CDC03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highlight w:val="none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highlight w:val="none"/>
                <w:vertAlign w:val="baseline"/>
                <w:lang w:val="ru-RU"/>
              </w:rPr>
              <w:t>5.1.3.</w:t>
            </w:r>
          </w:p>
          <w:p w14:paraId="28D0B12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vAlign w:val="top"/>
          </w:tcPr>
          <w:p w14:paraId="79F0E97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highlight w:val="none"/>
                <w:vertAlign w:val="baseline"/>
                <w:lang w:val="ru-RU"/>
              </w:rPr>
              <w:t>Площадки для занятий спортом</w:t>
            </w:r>
          </w:p>
        </w:tc>
        <w:tc>
          <w:tcPr>
            <w:tcW w:w="6067" w:type="dxa"/>
            <w:vMerge w:val="restart"/>
            <w:vAlign w:val="center"/>
          </w:tcPr>
          <w:p w14:paraId="2B49A66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участков:</w:t>
            </w:r>
          </w:p>
          <w:p w14:paraId="5E56327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а) минимальный –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100 кв.м;</w:t>
            </w:r>
          </w:p>
          <w:p w14:paraId="6ABCA1D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б) максимальный–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10000 кв.м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highlight w:val="none"/>
                <w:lang w:eastAsia="ru-RU"/>
              </w:rPr>
              <w:t>.</w:t>
            </w:r>
          </w:p>
          <w:p w14:paraId="7A4DF22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 - не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подлежит установлен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highlight w:val="none"/>
                <w:lang w:val="en-US" w:eastAsia="ru-RU"/>
              </w:rPr>
              <w:t>ию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.</w:t>
            </w:r>
          </w:p>
          <w:p w14:paraId="7ADC184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Максимальная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высота зданий - 5 м.</w:t>
            </w:r>
          </w:p>
          <w:p w14:paraId="398EB1C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Минимальные отступы от границ земельных участков:</w:t>
            </w:r>
          </w:p>
          <w:p w14:paraId="1BCC34A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а)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до красной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линии 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 – 3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м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;</w:t>
            </w:r>
          </w:p>
          <w:p w14:paraId="107CCC5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б) от иных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границ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 – 1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 xml:space="preserve"> м.</w:t>
            </w:r>
          </w:p>
        </w:tc>
      </w:tr>
      <w:tr w14:paraId="66778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vAlign w:val="top"/>
          </w:tcPr>
          <w:p w14:paraId="795316A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sz w:val="18"/>
                <w:szCs w:val="18"/>
                <w:lang w:val="ru-RU"/>
              </w:rPr>
            </w:pPr>
            <w:r>
              <w:rPr>
                <w:rFonts w:hint="default" w:ascii="Gotham Pro" w:hAnsi="Gotham Pro" w:cs="Gotham Pro"/>
                <w:sz w:val="18"/>
                <w:szCs w:val="18"/>
                <w:lang w:val="ru-RU"/>
              </w:rPr>
              <w:t>5.1.4.</w:t>
            </w:r>
          </w:p>
          <w:p w14:paraId="451A19E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vAlign w:val="top"/>
          </w:tcPr>
          <w:p w14:paraId="44E188E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sz w:val="18"/>
                <w:szCs w:val="18"/>
              </w:rPr>
              <w:t>Оборудованные площадки для занятий спортом</w:t>
            </w:r>
          </w:p>
        </w:tc>
        <w:tc>
          <w:tcPr>
            <w:tcW w:w="6067" w:type="dxa"/>
            <w:vMerge w:val="continue"/>
            <w:vAlign w:val="center"/>
          </w:tcPr>
          <w:p w14:paraId="073FDF4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1D985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vAlign w:val="top"/>
          </w:tcPr>
          <w:p w14:paraId="59FC78E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sz w:val="18"/>
                <w:szCs w:val="18"/>
                <w:lang w:val="ru-RU"/>
              </w:rPr>
              <w:t>5.1.5.</w:t>
            </w:r>
          </w:p>
        </w:tc>
        <w:tc>
          <w:tcPr>
            <w:tcW w:w="2822" w:type="dxa"/>
            <w:vAlign w:val="top"/>
          </w:tcPr>
          <w:p w14:paraId="7CC6129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sz w:val="18"/>
                <w:szCs w:val="18"/>
              </w:rPr>
            </w:pPr>
            <w:r>
              <w:rPr>
                <w:rFonts w:hint="default" w:ascii="Gotham Pro" w:hAnsi="Gotham Pro" w:cs="Gotham Pro"/>
                <w:sz w:val="18"/>
                <w:szCs w:val="18"/>
                <w:lang w:val="ru-RU"/>
              </w:rPr>
              <w:t>Водный спорт</w:t>
            </w:r>
          </w:p>
        </w:tc>
        <w:tc>
          <w:tcPr>
            <w:tcW w:w="6067" w:type="dxa"/>
            <w:vMerge w:val="restart"/>
            <w:vAlign w:val="center"/>
          </w:tcPr>
          <w:p w14:paraId="39E148E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Предельная этажность зданий, строений, этаж- не подлежит установлению.</w:t>
            </w:r>
          </w:p>
          <w:p w14:paraId="0446670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участков, га – не подлежат установлению.</w:t>
            </w:r>
          </w:p>
          <w:p w14:paraId="2FF9F79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застройки, % - не подлежит установлению.</w:t>
            </w:r>
          </w:p>
          <w:p w14:paraId="64211BE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Минимальный отступ от границ земельного участка в целях определения места допустимого размещения объекта – 3 м.</w:t>
            </w:r>
          </w:p>
        </w:tc>
      </w:tr>
      <w:tr w14:paraId="5B9F2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vAlign w:val="top"/>
          </w:tcPr>
          <w:p w14:paraId="7326068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sz w:val="18"/>
                <w:szCs w:val="18"/>
                <w:lang w:val="ru-RU"/>
              </w:rPr>
              <w:t>5.1.7.</w:t>
            </w:r>
          </w:p>
        </w:tc>
        <w:tc>
          <w:tcPr>
            <w:tcW w:w="2822" w:type="dxa"/>
            <w:vAlign w:val="top"/>
          </w:tcPr>
          <w:p w14:paraId="71F157A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sz w:val="18"/>
                <w:szCs w:val="18"/>
              </w:rPr>
            </w:pPr>
            <w:r>
              <w:rPr>
                <w:rFonts w:hint="default" w:ascii="Gotham Pro" w:hAnsi="Gotham Pro" w:cs="Gotham Pro"/>
                <w:sz w:val="18"/>
                <w:szCs w:val="18"/>
                <w:lang w:val="ru-RU"/>
              </w:rPr>
              <w:t>Спортивные базы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2120CF5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04C98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vAlign w:val="top"/>
          </w:tcPr>
          <w:p w14:paraId="51E7A44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5.2.</w:t>
            </w:r>
          </w:p>
          <w:p w14:paraId="67E748B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vAlign w:val="top"/>
          </w:tcPr>
          <w:p w14:paraId="0845141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sz w:val="18"/>
                <w:szCs w:val="18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Природно-познавательный туризм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4CB87EA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393491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vAlign w:val="top"/>
          </w:tcPr>
          <w:p w14:paraId="6B5AF43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 xml:space="preserve">5.2.1. </w:t>
            </w:r>
          </w:p>
          <w:p w14:paraId="3B75E85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vAlign w:val="top"/>
          </w:tcPr>
          <w:p w14:paraId="291A1E2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sz w:val="18"/>
                <w:szCs w:val="18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Туристическое обслуживание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3F81ACF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71A8F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vAlign w:val="top"/>
          </w:tcPr>
          <w:p w14:paraId="0E9AF12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5.3.</w:t>
            </w:r>
          </w:p>
        </w:tc>
        <w:tc>
          <w:tcPr>
            <w:tcW w:w="2822" w:type="dxa"/>
            <w:vAlign w:val="top"/>
          </w:tcPr>
          <w:p w14:paraId="1E3699B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sz w:val="18"/>
                <w:szCs w:val="18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Охота и рыбалка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50B46E2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333EB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vAlign w:val="top"/>
          </w:tcPr>
          <w:p w14:paraId="5F61557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5.4.</w:t>
            </w:r>
          </w:p>
          <w:p w14:paraId="67253A8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vAlign w:val="top"/>
          </w:tcPr>
          <w:p w14:paraId="31252A0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sz w:val="18"/>
                <w:szCs w:val="18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Причалы для маломерных судов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179EFAB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21277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vAlign w:val="top"/>
          </w:tcPr>
          <w:p w14:paraId="47F1912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7.3.</w:t>
            </w:r>
          </w:p>
        </w:tc>
        <w:tc>
          <w:tcPr>
            <w:tcW w:w="2822" w:type="dxa"/>
            <w:vAlign w:val="top"/>
          </w:tcPr>
          <w:p w14:paraId="445903C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sz w:val="18"/>
                <w:szCs w:val="18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Водный транспорт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467B30A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17018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2B41672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9.2.</w:t>
            </w:r>
          </w:p>
        </w:tc>
        <w:tc>
          <w:tcPr>
            <w:tcW w:w="2822" w:type="dxa"/>
          </w:tcPr>
          <w:p w14:paraId="57B31E5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Курортная деятельность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762466D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518C0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543F171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9.2.1.</w:t>
            </w:r>
          </w:p>
        </w:tc>
        <w:tc>
          <w:tcPr>
            <w:tcW w:w="2822" w:type="dxa"/>
          </w:tcPr>
          <w:p w14:paraId="59E988F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Санаторная деятельность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0A4C097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7A39F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49B552D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9.3.</w:t>
            </w:r>
          </w:p>
        </w:tc>
        <w:tc>
          <w:tcPr>
            <w:tcW w:w="2822" w:type="dxa"/>
          </w:tcPr>
          <w:p w14:paraId="03A5D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Историко-культурная деятельность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791A59B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51761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859" w:type="dxa"/>
          </w:tcPr>
          <w:p w14:paraId="484D41E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7.3.</w:t>
            </w:r>
          </w:p>
        </w:tc>
        <w:tc>
          <w:tcPr>
            <w:tcW w:w="2822" w:type="dxa"/>
          </w:tcPr>
          <w:p w14:paraId="1E79294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Водный транспорт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2B1A78E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7918E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59" w:type="dxa"/>
          </w:tcPr>
          <w:p w14:paraId="2DC4538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11.0.</w:t>
            </w:r>
          </w:p>
        </w:tc>
        <w:tc>
          <w:tcPr>
            <w:tcW w:w="2822" w:type="dxa"/>
          </w:tcPr>
          <w:p w14:paraId="0BE753A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Водные объекты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3E958F2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16D22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859" w:type="dxa"/>
          </w:tcPr>
          <w:p w14:paraId="30503AF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11.1.</w:t>
            </w:r>
          </w:p>
        </w:tc>
        <w:tc>
          <w:tcPr>
            <w:tcW w:w="2822" w:type="dxa"/>
          </w:tcPr>
          <w:p w14:paraId="6317673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Общее пользование водными объектами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337ABB7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503D4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859" w:type="dxa"/>
          </w:tcPr>
          <w:p w14:paraId="74E2575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11.2.</w:t>
            </w:r>
          </w:p>
        </w:tc>
        <w:tc>
          <w:tcPr>
            <w:tcW w:w="2822" w:type="dxa"/>
          </w:tcPr>
          <w:p w14:paraId="6C6EBF8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color w:val="000000" w:themeColor="text1"/>
                <w:sz w:val="18"/>
                <w:szCs w:val="18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Специальное пользование водными объектами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3AAA384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1843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859" w:type="dxa"/>
            <w:shd w:val="clear" w:color="auto" w:fill="auto"/>
            <w:vAlign w:val="top"/>
          </w:tcPr>
          <w:p w14:paraId="2F1F227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highlight w:val="green"/>
                <w:lang w:val="en-US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11.3.</w:t>
            </w:r>
          </w:p>
        </w:tc>
        <w:tc>
          <w:tcPr>
            <w:tcW w:w="2822" w:type="dxa"/>
            <w:shd w:val="clear" w:color="auto" w:fill="auto"/>
            <w:vAlign w:val="top"/>
          </w:tcPr>
          <w:p w14:paraId="5EA2A4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highlight w:val="green"/>
                <w:lang w:val="en-US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Гидротехнические сооружения 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20402B3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0A3E2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859" w:type="dxa"/>
          </w:tcPr>
          <w:p w14:paraId="25D2C11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12.0.1.</w:t>
            </w:r>
          </w:p>
        </w:tc>
        <w:tc>
          <w:tcPr>
            <w:tcW w:w="2822" w:type="dxa"/>
          </w:tcPr>
          <w:p w14:paraId="3BBA01B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Улично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-дорожная сеть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32217CC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2FA5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59" w:type="dxa"/>
            <w:shd w:val="clear" w:color="auto" w:fill="auto"/>
            <w:vAlign w:val="top"/>
          </w:tcPr>
          <w:p w14:paraId="44F3308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12.0.2</w:t>
            </w:r>
          </w:p>
        </w:tc>
        <w:tc>
          <w:tcPr>
            <w:tcW w:w="2822" w:type="dxa"/>
            <w:shd w:val="clear" w:color="auto" w:fill="auto"/>
            <w:vAlign w:val="top"/>
          </w:tcPr>
          <w:p w14:paraId="6C229D1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6BC14FC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3C891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859" w:type="dxa"/>
          </w:tcPr>
          <w:p w14:paraId="04844A0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3.6.2.</w:t>
            </w:r>
          </w:p>
        </w:tc>
        <w:tc>
          <w:tcPr>
            <w:tcW w:w="2822" w:type="dxa"/>
          </w:tcPr>
          <w:p w14:paraId="668134A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 xml:space="preserve">Парки культуры и отдыха 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0794395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33689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9" w:type="dxa"/>
            <w:shd w:val="clear" w:color="auto" w:fill="auto"/>
            <w:vAlign w:val="top"/>
          </w:tcPr>
          <w:p w14:paraId="47859CE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2822" w:type="dxa"/>
            <w:shd w:val="clear" w:color="auto" w:fill="auto"/>
            <w:vAlign w:val="top"/>
          </w:tcPr>
          <w:p w14:paraId="440F9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Бытовое обслуживание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2364437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highlight w:val="green"/>
                <w:lang w:eastAsia="ru-RU"/>
              </w:rPr>
            </w:pPr>
          </w:p>
        </w:tc>
      </w:tr>
      <w:tr w14:paraId="3FAA7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859" w:type="dxa"/>
            <w:shd w:val="clear" w:color="auto" w:fill="auto"/>
            <w:vAlign w:val="top"/>
          </w:tcPr>
          <w:p w14:paraId="2D9B2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4.7.</w:t>
            </w:r>
          </w:p>
          <w:p w14:paraId="6A670D4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82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 w14:paraId="6F8F0A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Гостиничное обслуживание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0BFD047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highlight w:val="green"/>
                <w:lang w:eastAsia="ru-RU"/>
              </w:rPr>
            </w:pPr>
          </w:p>
        </w:tc>
      </w:tr>
      <w:tr w14:paraId="3294D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59" w:type="dxa"/>
            <w:shd w:val="clear" w:color="auto" w:fill="auto"/>
            <w:vAlign w:val="top"/>
          </w:tcPr>
          <w:p w14:paraId="784BE9F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en-US"/>
              </w:rPr>
              <w:t>3.9.1.</w:t>
            </w:r>
          </w:p>
        </w:tc>
        <w:tc>
          <w:tcPr>
            <w:tcW w:w="282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top"/>
          </w:tcPr>
          <w:p w14:paraId="60B90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en-US"/>
              </w:rPr>
              <w:t xml:space="preserve">Обеспечение деятельности в области гидрометеорологии и смежных с ней областях 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1ED3FCA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highlight w:val="green"/>
                <w:lang w:eastAsia="ru-RU"/>
              </w:rPr>
            </w:pPr>
          </w:p>
        </w:tc>
      </w:tr>
      <w:tr w14:paraId="178BD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59" w:type="dxa"/>
            <w:shd w:val="clear" w:color="auto" w:fill="auto"/>
            <w:vAlign w:val="top"/>
          </w:tcPr>
          <w:p w14:paraId="02948B1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en-US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 xml:space="preserve">6.7. </w:t>
            </w:r>
          </w:p>
        </w:tc>
        <w:tc>
          <w:tcPr>
            <w:tcW w:w="282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top"/>
          </w:tcPr>
          <w:p w14:paraId="1E606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en-US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Энергетика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335E0E7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highlight w:val="green"/>
                <w:lang w:eastAsia="ru-RU"/>
              </w:rPr>
            </w:pPr>
          </w:p>
        </w:tc>
      </w:tr>
      <w:tr w14:paraId="2B304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859" w:type="dxa"/>
            <w:shd w:val="clear" w:color="auto" w:fill="auto"/>
            <w:vAlign w:val="top"/>
          </w:tcPr>
          <w:p w14:paraId="362A90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6.8</w:t>
            </w: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282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top"/>
          </w:tcPr>
          <w:p w14:paraId="2264A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Связь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07EA9AA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highlight w:val="green"/>
                <w:lang w:eastAsia="ru-RU"/>
              </w:rPr>
            </w:pPr>
          </w:p>
        </w:tc>
      </w:tr>
      <w:tr w14:paraId="09AAFD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D78F2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DC5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Коммунальное обслуживание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15EB386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highlight w:val="green"/>
                <w:lang w:eastAsia="ru-RU"/>
              </w:rPr>
            </w:pPr>
          </w:p>
        </w:tc>
      </w:tr>
      <w:tr w14:paraId="16C9A6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8" w:type="dxa"/>
            <w:gridSpan w:val="3"/>
          </w:tcPr>
          <w:p w14:paraId="0A2A86B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b/>
                <w:sz w:val="18"/>
                <w:szCs w:val="18"/>
                <w:lang w:eastAsia="ru-RU"/>
              </w:rPr>
              <w:t>Условно разрешенные виды и параметры использования земельных участков и объектов капитального строительства</w:t>
            </w:r>
          </w:p>
        </w:tc>
      </w:tr>
      <w:tr w14:paraId="45925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89F2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3.9.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6C4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Обеспечение научной деятельности</w:t>
            </w:r>
          </w:p>
        </w:tc>
        <w:tc>
          <w:tcPr>
            <w:tcW w:w="6067" w:type="dxa"/>
            <w:vMerge w:val="restart"/>
            <w:vAlign w:val="center"/>
          </w:tcPr>
          <w:p w14:paraId="37458A0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Предельная этажность зданий, строений, этаж- не подлежит установлению.</w:t>
            </w:r>
          </w:p>
          <w:p w14:paraId="7519A75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участков, га – не подлежат установлению.</w:t>
            </w:r>
          </w:p>
          <w:p w14:paraId="4373B31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застройки, % - не подлежит установлению.</w:t>
            </w:r>
          </w:p>
          <w:p w14:paraId="680717D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Минимальный отступ от границ земельного участка в целях определения места допустимого размещения объекта – 3 м.</w:t>
            </w:r>
          </w:p>
        </w:tc>
      </w:tr>
      <w:tr w14:paraId="61296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01BEC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13.1.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16BD7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Ведение огородничества</w:t>
            </w:r>
          </w:p>
        </w:tc>
        <w:tc>
          <w:tcPr>
            <w:tcW w:w="6067" w:type="dxa"/>
            <w:vMerge w:val="continue"/>
            <w:vAlign w:val="center"/>
          </w:tcPr>
          <w:p w14:paraId="5F4EDE3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0AA47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21A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1.19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FF49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Сенокошение</w:t>
            </w:r>
          </w:p>
        </w:tc>
        <w:tc>
          <w:tcPr>
            <w:tcW w:w="6067" w:type="dxa"/>
            <w:vMerge w:val="continue"/>
            <w:vAlign w:val="center"/>
          </w:tcPr>
          <w:p w14:paraId="67203E9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599F0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2C7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1.20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F6B7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Выпас сельскохозяйственных животных</w:t>
            </w:r>
          </w:p>
        </w:tc>
        <w:tc>
          <w:tcPr>
            <w:tcW w:w="6067" w:type="dxa"/>
            <w:vMerge w:val="continue"/>
            <w:vAlign w:val="center"/>
          </w:tcPr>
          <w:p w14:paraId="49AACE5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20F0F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6626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12.3.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DC33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ru-RU" w:eastAsia="ru-RU" w:bidi="ar-SA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Запас</w:t>
            </w:r>
          </w:p>
        </w:tc>
        <w:tc>
          <w:tcPr>
            <w:tcW w:w="6067" w:type="dxa"/>
            <w:vMerge w:val="continue"/>
            <w:vAlign w:val="center"/>
          </w:tcPr>
          <w:p w14:paraId="6BB08B0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39B0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1C418A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  <w:t>3.3.</w:t>
            </w:r>
          </w:p>
          <w:p w14:paraId="5010C10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AA698A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  <w:t>Бытовое обслуживание</w:t>
            </w:r>
          </w:p>
        </w:tc>
        <w:tc>
          <w:tcPr>
            <w:tcW w:w="6067" w:type="dxa"/>
            <w:vMerge w:val="continue"/>
            <w:vAlign w:val="center"/>
          </w:tcPr>
          <w:p w14:paraId="717AFDE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2D61A9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50C151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  <w:t>3.4.</w:t>
            </w:r>
          </w:p>
          <w:p w14:paraId="5BE1427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E6685A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  <w:t>Здравоохранение</w:t>
            </w:r>
          </w:p>
        </w:tc>
        <w:tc>
          <w:tcPr>
            <w:tcW w:w="6067" w:type="dxa"/>
            <w:vMerge w:val="restart"/>
            <w:vAlign w:val="center"/>
          </w:tcPr>
          <w:p w14:paraId="3C0E5CD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Предельная этажность зданий, строений, этаж- не подлежит установлению.</w:t>
            </w:r>
          </w:p>
          <w:p w14:paraId="0D186EB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Предельные размеры земельных участков, га – не подлежат установлению.</w:t>
            </w:r>
          </w:p>
          <w:p w14:paraId="4EEF990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Максимальный процент застройки, % - не подлежит установлению.</w:t>
            </w:r>
          </w:p>
          <w:p w14:paraId="2F0A0FA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  <w:t>Минимальный отступ от границ земельного участка в целях определения места допустимого размещения объекта – 3 м.</w:t>
            </w:r>
          </w:p>
        </w:tc>
      </w:tr>
      <w:tr w14:paraId="7EAA3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1C3711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  <w:t xml:space="preserve">3.7. </w:t>
            </w:r>
          </w:p>
          <w:p w14:paraId="113969A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0AD789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  <w:t>Религиозное использование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7AF4AAB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69D46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4E7D5F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ru-RU"/>
              </w:rPr>
            </w:pPr>
            <w:r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ru-RU"/>
              </w:rPr>
              <w:t>4.4.</w:t>
            </w:r>
          </w:p>
          <w:p w14:paraId="4A1D1D6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A1FD16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ru-RU"/>
              </w:rPr>
              <w:t>Магазины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2AD5C3A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06934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4EE0FC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4.6.</w:t>
            </w:r>
          </w:p>
          <w:p w14:paraId="1987FB0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0841C0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Общественное питание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4A7DAF6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0C0A9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5EB780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4.7.</w:t>
            </w:r>
          </w:p>
          <w:p w14:paraId="585F995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0BFA30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Гостиничное обслуживание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1BFFA2E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38FB4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29449A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8.3.</w:t>
            </w:r>
          </w:p>
          <w:p w14:paraId="6F7766D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B50E06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eastAsia="SimSun" w:cs="Gotham Pro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Обеспечение внутреннего правопорядка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14FE867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7C263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4A26D6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7.4.</w:t>
            </w:r>
          </w:p>
          <w:p w14:paraId="23AB0A3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6D53F4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cs="Gotham Pro"/>
                <w:b w:val="0"/>
                <w:bCs w:val="0"/>
                <w:sz w:val="18"/>
                <w:szCs w:val="18"/>
                <w:vertAlign w:val="baseline"/>
                <w:lang w:val="ru-RU"/>
              </w:rPr>
            </w:pPr>
            <w:r>
              <w:rPr>
                <w:rFonts w:hint="default" w:ascii="Gotham Pro" w:hAnsi="Gotham Pro" w:cs="Gotham Pro"/>
                <w:b w:val="0"/>
                <w:bCs w:val="0"/>
                <w:color w:val="auto"/>
                <w:sz w:val="18"/>
                <w:szCs w:val="18"/>
                <w:vertAlign w:val="baseline"/>
                <w:lang w:val="ru-RU"/>
              </w:rPr>
              <w:t>Воздушный транспорт</w:t>
            </w:r>
          </w:p>
        </w:tc>
        <w:tc>
          <w:tcPr>
            <w:tcW w:w="6067" w:type="dxa"/>
            <w:vMerge w:val="continue"/>
            <w:tcBorders/>
            <w:vAlign w:val="center"/>
          </w:tcPr>
          <w:p w14:paraId="40FC35F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</w:p>
        </w:tc>
      </w:tr>
      <w:tr w14:paraId="5360BC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8" w:type="dxa"/>
            <w:gridSpan w:val="3"/>
          </w:tcPr>
          <w:p w14:paraId="36D0335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both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eastAsia="ru-RU"/>
              </w:rPr>
            </w:pPr>
            <w:r>
              <w:rPr>
                <w:rFonts w:hint="default" w:ascii="Gotham Pro" w:hAnsi="Gotham Pro" w:eastAsia="Times New Roman" w:cs="Gotham Pro"/>
                <w:b/>
                <w:sz w:val="18"/>
                <w:szCs w:val="18"/>
                <w:lang w:eastAsia="ru-RU"/>
              </w:rPr>
              <w:t>Вспомогательные виды и параметры использования земельных участков и объектов капитального строительства</w:t>
            </w:r>
          </w:p>
        </w:tc>
      </w:tr>
      <w:tr w14:paraId="6218A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59" w:type="dxa"/>
          </w:tcPr>
          <w:p w14:paraId="7BA5C9F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2822" w:type="dxa"/>
          </w:tcPr>
          <w:p w14:paraId="079AA9F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6067" w:type="dxa"/>
            <w:vAlign w:val="center"/>
          </w:tcPr>
          <w:p w14:paraId="4BDA240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5" w:lineRule="atLeast"/>
              <w:jc w:val="center"/>
              <w:textAlignment w:val="auto"/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</w:pPr>
            <w:r>
              <w:rPr>
                <w:rFonts w:hint="default" w:ascii="Gotham Pro" w:hAnsi="Gotham Pro" w:eastAsia="Times New Roman" w:cs="Gotham Pro"/>
                <w:sz w:val="18"/>
                <w:szCs w:val="18"/>
                <w:lang w:val="en-US" w:eastAsia="ru-RU"/>
              </w:rPr>
              <w:t>-</w:t>
            </w:r>
          </w:p>
        </w:tc>
      </w:tr>
      <w:bookmarkEnd w:id="0"/>
    </w:tbl>
    <w:p w14:paraId="47A6F199">
      <w:pPr>
        <w:pStyle w:val="5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467604">
      <w:pPr>
        <w:jc w:val="center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</w:p>
    <w:sectPr>
      <w:pgSz w:w="11906" w:h="16838"/>
      <w:pgMar w:top="1134" w:right="567" w:bottom="1134" w:left="1701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T Sans">
    <w:panose1 w:val="020B0503020203020204"/>
    <w:charset w:val="00"/>
    <w:family w:val="auto"/>
    <w:pitch w:val="default"/>
    <w:sig w:usb0="A00002EF" w:usb1="5000204B" w:usb2="00000020" w:usb3="00000000" w:csb0="20000097" w:csb1="00000000"/>
  </w:font>
  <w:font w:name="Gotham Pro">
    <w:panose1 w:val="02000503040000020004"/>
    <w:charset w:val="00"/>
    <w:family w:val="modern"/>
    <w:pitch w:val="default"/>
    <w:sig w:usb0="80000AAF" w:usb1="5000204A" w:usb2="00000000" w:usb3="00000000" w:csb0="2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19C832"/>
    <w:multiLevelType w:val="singleLevel"/>
    <w:tmpl w:val="2C19C832"/>
    <w:lvl w:ilvl="0" w:tentative="0">
      <w:start w:val="36"/>
      <w:numFmt w:val="decimal"/>
      <w:suff w:val="space"/>
      <w:lvlText w:val="%1."/>
      <w:lvlJc w:val="left"/>
    </w:lvl>
  </w:abstractNum>
  <w:abstractNum w:abstractNumId="1">
    <w:nsid w:val="7F510D9B"/>
    <w:multiLevelType w:val="multilevel"/>
    <w:tmpl w:val="7F510D9B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22EA7"/>
    <w:rsid w:val="0A047790"/>
    <w:rsid w:val="0BDA11E5"/>
    <w:rsid w:val="0C1A6669"/>
    <w:rsid w:val="34542E00"/>
    <w:rsid w:val="36215063"/>
    <w:rsid w:val="37871975"/>
    <w:rsid w:val="433806C0"/>
    <w:rsid w:val="43CD126C"/>
    <w:rsid w:val="5E7B6C91"/>
    <w:rsid w:val="6CB1651F"/>
    <w:rsid w:val="747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2024-06-06T05:10:00Z</dcterms:created>
  <dc:creator>Honor 2023</dc:creator>
  <cp:lastModifiedBy>Zorikt Alexanay</cp:lastModifiedBy>
  <dcterms:modified xsi:type="dcterms:W3CDTF">2024-10-03T04:01:19Z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8D2EA3F4F5434F30AFC70323E6EBF92E_12</vt:lpwstr>
  </property>
</Properties>
</file>